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F6BF" w14:textId="77777777" w:rsidR="00D92A51" w:rsidRPr="00C92BFF" w:rsidRDefault="00D92A51" w:rsidP="005D2EFA">
      <w:pPr>
        <w:pStyle w:val="1"/>
        <w:kinsoku w:val="0"/>
        <w:overflowPunct w:val="0"/>
        <w:spacing w:before="120" w:line="242" w:lineRule="auto"/>
        <w:ind w:left="0" w:right="113"/>
        <w:rPr>
          <w:b w:val="0"/>
          <w:bCs w:val="0"/>
        </w:rPr>
      </w:pPr>
      <w:r>
        <w:t>Меморандум щодо клінічної ефективності та безпеки препарату Церебролізин при ішемічному інсульті та черепно-мозкових травмах</w:t>
      </w:r>
    </w:p>
    <w:p w14:paraId="38E7FF77" w14:textId="77777777" w:rsidR="00D92A51" w:rsidRPr="00C92BFF" w:rsidRDefault="00D92A51" w:rsidP="005D2EFA">
      <w:pPr>
        <w:pStyle w:val="a8"/>
        <w:kinsoku w:val="0"/>
        <w:overflowPunct w:val="0"/>
        <w:spacing w:before="240"/>
        <w:ind w:left="106" w:right="110"/>
      </w:pPr>
      <w:r>
        <w:t xml:space="preserve">Клінічна ефективність і безпека Церебролізину вивчалася в численних клінічних дослідженнях (22 675 пацієнтів брали участь у 139 клінічних дослідженнях, з них 5 693 у 47 подвійних сліпих рандомізованих контрольованих клінічних дослідженнях). На підставі систематичного аналізу цього комплексного набору даних, включаючи сучасну методологію GRADE, </w:t>
      </w:r>
      <w:r>
        <w:rPr>
          <w:b/>
          <w:bCs/>
        </w:rPr>
        <w:t>Церебролізин був включений до клінічних рекомендацій з реабілітації після інсульту провідних західних країн, які є референтними для України, як препарат, який може покращити відновлення функції верхніх кінцівок, знизити важкість інсульту та покращити якість життя пацієнтів після інсульту.</w:t>
      </w:r>
      <w:r>
        <w:t xml:space="preserve"> </w:t>
      </w:r>
    </w:p>
    <w:p w14:paraId="3740384C" w14:textId="77777777" w:rsidR="00D92A51" w:rsidRPr="00C92BFF" w:rsidRDefault="00D92A51" w:rsidP="005D2EFA">
      <w:pPr>
        <w:pStyle w:val="1"/>
        <w:kinsoku w:val="0"/>
        <w:overflowPunct w:val="0"/>
        <w:spacing w:before="120"/>
        <w:rPr>
          <w:b w:val="0"/>
          <w:bCs w:val="0"/>
        </w:rPr>
      </w:pPr>
      <w:r>
        <w:t xml:space="preserve">Зокрема: </w:t>
      </w:r>
    </w:p>
    <w:p w14:paraId="40F5DDFA" w14:textId="08D1858C" w:rsidR="00FD5705" w:rsidRDefault="00D92A51" w:rsidP="005D2EFA">
      <w:pPr>
        <w:pStyle w:val="a8"/>
        <w:numPr>
          <w:ilvl w:val="0"/>
          <w:numId w:val="1"/>
        </w:numPr>
        <w:tabs>
          <w:tab w:val="left" w:pos="1113"/>
        </w:tabs>
        <w:kinsoku w:val="0"/>
        <w:overflowPunct w:val="0"/>
        <w:spacing w:before="120" w:line="275" w:lineRule="auto"/>
        <w:ind w:right="115"/>
        <w:rPr>
          <w:color w:val="000000"/>
        </w:rPr>
      </w:pPr>
      <w:r>
        <w:rPr>
          <w:b/>
          <w:bCs/>
        </w:rPr>
        <w:t>Австрії у 2018 році</w:t>
      </w:r>
      <w:r>
        <w:t xml:space="preserve"> (Клінічні рекомендації щодо реабілітації після інсульту, </w:t>
      </w:r>
      <w:hyperlink r:id="rId8" w:history="1">
        <w:r w:rsidR="009F4859" w:rsidRPr="009F4859">
          <w:rPr>
            <w:rStyle w:val="aa"/>
          </w:rPr>
          <w:t>https://www.xn--gsf-rna.at/wp-content/uploads/2016/11/Positionspapier-2018_OEGSF_neurologisch.pdf</w:t>
        </w:r>
      </w:hyperlink>
    </w:p>
    <w:p w14:paraId="35BC7AB3" w14:textId="3DF6D27D" w:rsidR="00D92A51" w:rsidRPr="00C92BFF" w:rsidRDefault="00D92A51" w:rsidP="00FD5705">
      <w:pPr>
        <w:pStyle w:val="a8"/>
        <w:tabs>
          <w:tab w:val="left" w:pos="1113"/>
        </w:tabs>
        <w:kinsoku w:val="0"/>
        <w:overflowPunct w:val="0"/>
        <w:spacing w:before="120" w:line="275" w:lineRule="auto"/>
        <w:ind w:right="115"/>
        <w:rPr>
          <w:color w:val="000000"/>
        </w:rPr>
      </w:pPr>
      <w:r>
        <w:rPr>
          <w:color w:val="000000"/>
        </w:rPr>
        <w:t xml:space="preserve">«Церебролізин® (30 мл протягом 3-х тижнів чи довше) покращує результати відновлення верхньої кінцівки після інсульту (рівень доказовості  2В)»; </w:t>
      </w:r>
    </w:p>
    <w:p w14:paraId="1ABBFC9F" w14:textId="206D018D" w:rsidR="00D92A51" w:rsidRPr="00C92BFF" w:rsidRDefault="00D92A51" w:rsidP="00D92A51">
      <w:pPr>
        <w:pStyle w:val="a8"/>
        <w:numPr>
          <w:ilvl w:val="0"/>
          <w:numId w:val="1"/>
        </w:numPr>
        <w:tabs>
          <w:tab w:val="left" w:pos="1113"/>
        </w:tabs>
        <w:kinsoku w:val="0"/>
        <w:overflowPunct w:val="0"/>
        <w:spacing w:line="276" w:lineRule="auto"/>
        <w:ind w:right="121"/>
        <w:rPr>
          <w:color w:val="000000"/>
        </w:rPr>
      </w:pPr>
      <w:r>
        <w:rPr>
          <w:b/>
          <w:bCs/>
        </w:rPr>
        <w:t>Польщі у 2019 році</w:t>
      </w:r>
      <w:r>
        <w:t xml:space="preserve"> (Клінічні рекомендації щодо лікування гострого ішемічного інсульту та реабілітації після інсульту, </w:t>
      </w:r>
      <w:hyperlink r:id="rId9" w:history="1">
        <w:r w:rsidR="00900940" w:rsidRPr="00822916">
          <w:rPr>
            <w:rStyle w:val="aa"/>
          </w:rPr>
          <w:t>https://journals.viamedica.pl/polski_przeglad_neurologiczny/issue/view/4583):</w:t>
        </w:r>
      </w:hyperlink>
      <w:r>
        <w:rPr>
          <w:color w:val="000000"/>
        </w:rPr>
        <w:t xml:space="preserve">     «Клінічні випробування показали, що застосування Церебролізину під час ранньої реабілітації після інсульту покращує неврологічний статус та рухові функції і може сприяти зменшенню спастичності при парезі верхніх кінцівок»;</w:t>
      </w:r>
    </w:p>
    <w:p w14:paraId="38D72033" w14:textId="77777777" w:rsidR="00D92A51" w:rsidRPr="00C92BFF" w:rsidRDefault="00D92A51" w:rsidP="00D92A51">
      <w:pPr>
        <w:pStyle w:val="a8"/>
        <w:numPr>
          <w:ilvl w:val="0"/>
          <w:numId w:val="1"/>
        </w:numPr>
        <w:tabs>
          <w:tab w:val="left" w:pos="1113"/>
        </w:tabs>
        <w:kinsoku w:val="0"/>
        <w:overflowPunct w:val="0"/>
        <w:spacing w:before="10" w:line="275" w:lineRule="auto"/>
        <w:ind w:right="115"/>
        <w:rPr>
          <w:color w:val="000000"/>
        </w:rPr>
      </w:pPr>
      <w:r>
        <w:rPr>
          <w:b/>
          <w:bCs/>
        </w:rPr>
        <w:t>Канади у 2020 році</w:t>
      </w:r>
      <w:r>
        <w:t xml:space="preserve"> (Науково-обґрунтований огляд </w:t>
      </w:r>
      <w:hyperlink r:id="rId10" w:history="1">
        <w:r>
          <w:rPr>
            <w:color w:val="0462C1"/>
            <w:u w:val="single"/>
          </w:rPr>
          <w:t>http://www.ebrsr.com/evidence-review/10-upper-</w:t>
        </w:r>
      </w:hyperlink>
      <w:r>
        <w:t xml:space="preserve"> </w:t>
      </w:r>
      <w:hyperlink r:id="rId11" w:history="1">
        <w:r>
          <w:rPr>
            <w:color w:val="0462C1"/>
            <w:u w:val="single"/>
          </w:rPr>
          <w:t xml:space="preserve">extremity-interventions </w:t>
        </w:r>
      </w:hyperlink>
      <w:r>
        <w:t xml:space="preserve">та клінічні рекомендації щодо реабілітації після інсульту </w:t>
      </w:r>
      <w:hyperlink r:id="rId12" w:history="1">
        <w:r>
          <w:rPr>
            <w:color w:val="0462C1"/>
            <w:u w:val="single"/>
          </w:rPr>
          <w:t>http://www.ebrsr.com/sites/default/files/EBRSR%20Handbook%20Chapter%204_Upp</w:t>
        </w:r>
      </w:hyperlink>
      <w:r>
        <w:t xml:space="preserve"> </w:t>
      </w:r>
      <w:hyperlink r:id="rId13" w:history="1">
        <w:r>
          <w:rPr>
            <w:color w:val="0462C1"/>
            <w:u w:val="single"/>
          </w:rPr>
          <w:t>er%20Extremity%20Post%20Stroke_ML.pdf</w:t>
        </w:r>
      </w:hyperlink>
      <w:r>
        <w:rPr>
          <w:color w:val="000000"/>
        </w:rPr>
        <w:t>):</w:t>
      </w:r>
    </w:p>
    <w:p w14:paraId="2FFB2676" w14:textId="77777777" w:rsidR="00D92A51" w:rsidRPr="00C92BFF" w:rsidRDefault="00D92A51" w:rsidP="00D92A51">
      <w:pPr>
        <w:pStyle w:val="a8"/>
        <w:kinsoku w:val="0"/>
        <w:overflowPunct w:val="0"/>
        <w:spacing w:line="284" w:lineRule="auto"/>
        <w:ind w:right="115"/>
      </w:pPr>
      <w:r>
        <w:t>«Церебролізин® може покращити моторну функцію верхньої кінцівки (рівень доказовості 1А), активність у повсякденному житті та знизити тяжкість інсульту (рівень доказовості 1В)»;</w:t>
      </w:r>
    </w:p>
    <w:p w14:paraId="3265FE54" w14:textId="77777777" w:rsidR="002F4631" w:rsidRDefault="00D92A51" w:rsidP="00D92A51">
      <w:pPr>
        <w:pStyle w:val="a8"/>
        <w:numPr>
          <w:ilvl w:val="0"/>
          <w:numId w:val="1"/>
        </w:numPr>
        <w:tabs>
          <w:tab w:val="left" w:pos="1113"/>
          <w:tab w:val="left" w:pos="4281"/>
        </w:tabs>
        <w:kinsoku w:val="0"/>
        <w:overflowPunct w:val="0"/>
        <w:spacing w:line="277" w:lineRule="auto"/>
        <w:ind w:right="137"/>
        <w:jc w:val="both"/>
        <w:rPr>
          <w:color w:val="000000"/>
        </w:rPr>
      </w:pPr>
      <w:r>
        <w:rPr>
          <w:b/>
          <w:bCs/>
        </w:rPr>
        <w:t>Німеччини у 2020 році</w:t>
      </w:r>
      <w:r>
        <w:t xml:space="preserve"> (Рекомендації 3-го ступеня Німецького товариства щодо нейрореабілітації,</w:t>
      </w:r>
      <w:r>
        <w:rPr>
          <w:color w:val="000000"/>
        </w:rPr>
        <w:t>):</w:t>
      </w:r>
    </w:p>
    <w:p w14:paraId="4FC56682" w14:textId="6A103376" w:rsidR="00D04FF8" w:rsidRDefault="00D04FF8" w:rsidP="00D04FF8">
      <w:pPr>
        <w:pStyle w:val="ac"/>
        <w:ind w:left="1112"/>
      </w:pPr>
      <w:hyperlink r:id="rId14" w:history="1">
        <w:r w:rsidRPr="00822916">
          <w:rPr>
            <w:rStyle w:val="aa"/>
          </w:rPr>
          <w:t>https://register.awmf.org/assets/guidelines/080-001l_S3_Rehabilitative_Therapie_bei_Armparese_nach_Schlaganfall_2020-07.pdf</w:t>
        </w:r>
      </w:hyperlink>
    </w:p>
    <w:p w14:paraId="50FF3FDA" w14:textId="58EDB5D8" w:rsidR="00D92A51" w:rsidRPr="00C92BFF" w:rsidRDefault="00D92A51" w:rsidP="002F4631">
      <w:pPr>
        <w:pStyle w:val="a8"/>
        <w:tabs>
          <w:tab w:val="left" w:pos="1113"/>
          <w:tab w:val="left" w:pos="4281"/>
        </w:tabs>
        <w:kinsoku w:val="0"/>
        <w:overflowPunct w:val="0"/>
        <w:spacing w:line="277" w:lineRule="auto"/>
        <w:ind w:right="137"/>
        <w:jc w:val="both"/>
        <w:rPr>
          <w:color w:val="000000"/>
        </w:rPr>
      </w:pPr>
      <w:r>
        <w:rPr>
          <w:color w:val="000000"/>
        </w:rPr>
        <w:t xml:space="preserve"> «Застосування Церебролізину слід починати якомога швидше (від 24 до 72 годин після інсульту) та призначати протягом 21 доби один раз на добу, в/в, на додаток до реабілітаційних заходів (рівень доказовості  1B)”;</w:t>
      </w:r>
    </w:p>
    <w:p w14:paraId="6B4176DE" w14:textId="77777777" w:rsidR="00D92A51" w:rsidRPr="00C92BFF" w:rsidRDefault="00D92A51" w:rsidP="00D92A51">
      <w:pPr>
        <w:pStyle w:val="a8"/>
        <w:numPr>
          <w:ilvl w:val="0"/>
          <w:numId w:val="1"/>
        </w:numPr>
        <w:tabs>
          <w:tab w:val="left" w:pos="1113"/>
        </w:tabs>
        <w:kinsoku w:val="0"/>
        <w:overflowPunct w:val="0"/>
        <w:spacing w:line="284" w:lineRule="auto"/>
        <w:ind w:right="119"/>
        <w:jc w:val="both"/>
        <w:rPr>
          <w:color w:val="000000"/>
        </w:rPr>
      </w:pPr>
      <w:r>
        <w:t xml:space="preserve">Німецькі рекомендації опубліковані на офіційному сайті </w:t>
      </w:r>
      <w:r>
        <w:rPr>
          <w:b/>
          <w:bCs/>
        </w:rPr>
        <w:t>Швейцарського товариства нейрореабілітації</w:t>
      </w:r>
      <w:r>
        <w:t xml:space="preserve"> (</w:t>
      </w:r>
      <w:hyperlink r:id="rId15" w:history="1">
        <w:r>
          <w:rPr>
            <w:color w:val="0462C1"/>
            <w:u w:val="single"/>
          </w:rPr>
          <w:t>https://www.sgnr.ch/deutsch/leitlinien/</w:t>
        </w:r>
      </w:hyperlink>
      <w:r>
        <w:rPr>
          <w:color w:val="000000"/>
        </w:rPr>
        <w:t>).</w:t>
      </w:r>
    </w:p>
    <w:p w14:paraId="7DD512C8" w14:textId="77777777" w:rsidR="00A81568" w:rsidRDefault="00D92A51" w:rsidP="002620B6">
      <w:pPr>
        <w:pStyle w:val="a8"/>
        <w:numPr>
          <w:ilvl w:val="0"/>
          <w:numId w:val="1"/>
        </w:numPr>
        <w:tabs>
          <w:tab w:val="left" w:pos="1113"/>
        </w:tabs>
        <w:kinsoku w:val="0"/>
        <w:overflowPunct w:val="0"/>
        <w:spacing w:line="275" w:lineRule="auto"/>
        <w:ind w:right="121"/>
        <w:jc w:val="both"/>
      </w:pPr>
      <w:r w:rsidRPr="004F0DD9">
        <w:rPr>
          <w:b/>
        </w:rPr>
        <w:t xml:space="preserve">Панєвропейські 2021: </w:t>
      </w:r>
      <w:r>
        <w:t>Рекомендації (European Federation of Neurorehabilitation Societies)</w:t>
      </w:r>
      <w:r w:rsidRPr="004F0DD9">
        <w:rPr>
          <w:b/>
          <w:bCs/>
        </w:rPr>
        <w:t>Європейської академії неврології (European Academy of Neurology) та Європейської федерації нейрореабілітаційних товариств</w:t>
      </w:r>
      <w:r>
        <w:t xml:space="preserve"> з фармакологічної </w:t>
      </w:r>
      <w:r>
        <w:lastRenderedPageBreak/>
        <w:t xml:space="preserve">підтримки в ранній руховій реабілітації після гострого ішемічного інсульту (Guideline on pharmacological support in early motor rehabilitation after acute ischaemic stroke), які оприлюднені 21 червня 2021 року в Європейському журналі неврології </w:t>
      </w:r>
    </w:p>
    <w:p w14:paraId="1FD92130" w14:textId="77777777" w:rsidR="00B932B1" w:rsidRDefault="00D04FF8" w:rsidP="00B932B1">
      <w:pPr>
        <w:pStyle w:val="a8"/>
        <w:tabs>
          <w:tab w:val="left" w:pos="1113"/>
        </w:tabs>
        <w:kinsoku w:val="0"/>
        <w:overflowPunct w:val="0"/>
        <w:spacing w:line="284" w:lineRule="auto"/>
        <w:ind w:right="119"/>
        <w:jc w:val="both"/>
        <w:rPr>
          <w:rStyle w:val="aa"/>
        </w:rPr>
      </w:pPr>
      <w:hyperlink r:id="rId16" w:history="1">
        <w:r w:rsidR="00AB1941" w:rsidRPr="00AB1941">
          <w:rPr>
            <w:rStyle w:val="aa"/>
            <w:lang w:val="ru-RU"/>
          </w:rPr>
          <w:t>https</w:t>
        </w:r>
        <w:r w:rsidR="00AB1941" w:rsidRPr="00AB1941">
          <w:rPr>
            <w:rStyle w:val="aa"/>
          </w:rPr>
          <w:t>://</w:t>
        </w:r>
        <w:r w:rsidR="00AB1941" w:rsidRPr="00AB1941">
          <w:rPr>
            <w:rStyle w:val="aa"/>
            <w:lang w:val="ru-RU"/>
          </w:rPr>
          <w:t>onlinelibrary</w:t>
        </w:r>
        <w:r w:rsidR="00AB1941" w:rsidRPr="00AB1941">
          <w:rPr>
            <w:rStyle w:val="aa"/>
          </w:rPr>
          <w:t>.</w:t>
        </w:r>
        <w:r w:rsidR="00AB1941" w:rsidRPr="00AB1941">
          <w:rPr>
            <w:rStyle w:val="aa"/>
            <w:lang w:val="ru-RU"/>
          </w:rPr>
          <w:t>wiley</w:t>
        </w:r>
        <w:r w:rsidR="00AB1941" w:rsidRPr="00AB1941">
          <w:rPr>
            <w:rStyle w:val="aa"/>
          </w:rPr>
          <w:t>.</w:t>
        </w:r>
        <w:r w:rsidR="00AB1941" w:rsidRPr="00AB1941">
          <w:rPr>
            <w:rStyle w:val="aa"/>
            <w:lang w:val="ru-RU"/>
          </w:rPr>
          <w:t>com</w:t>
        </w:r>
        <w:r w:rsidR="00AB1941" w:rsidRPr="00AB1941">
          <w:rPr>
            <w:rStyle w:val="aa"/>
          </w:rPr>
          <w:t>/</w:t>
        </w:r>
        <w:r w:rsidR="00AB1941" w:rsidRPr="00AB1941">
          <w:rPr>
            <w:rStyle w:val="aa"/>
            <w:lang w:val="ru-RU"/>
          </w:rPr>
          <w:t>doi</w:t>
        </w:r>
        <w:r w:rsidR="00AB1941" w:rsidRPr="00AB1941">
          <w:rPr>
            <w:rStyle w:val="aa"/>
          </w:rPr>
          <w:t>/</w:t>
        </w:r>
        <w:r w:rsidR="00AB1941" w:rsidRPr="00AB1941">
          <w:rPr>
            <w:rStyle w:val="aa"/>
            <w:lang w:val="ru-RU"/>
          </w:rPr>
          <w:t>epdf</w:t>
        </w:r>
        <w:r w:rsidR="00AB1941" w:rsidRPr="00AB1941">
          <w:rPr>
            <w:rStyle w:val="aa"/>
          </w:rPr>
          <w:t>/10.1111/</w:t>
        </w:r>
        <w:r w:rsidR="00AB1941" w:rsidRPr="00AB1941">
          <w:rPr>
            <w:rStyle w:val="aa"/>
            <w:lang w:val="ru-RU"/>
          </w:rPr>
          <w:t>ene</w:t>
        </w:r>
        <w:r w:rsidR="00AB1941" w:rsidRPr="00AB1941">
          <w:rPr>
            <w:rStyle w:val="aa"/>
          </w:rPr>
          <w:t>.14936</w:t>
        </w:r>
      </w:hyperlink>
    </w:p>
    <w:p w14:paraId="7F9C7041" w14:textId="77777777" w:rsidR="00D92A51" w:rsidRPr="00C92BFF" w:rsidRDefault="00D92A51" w:rsidP="005D2EFA">
      <w:pPr>
        <w:pStyle w:val="1"/>
        <w:kinsoku w:val="0"/>
        <w:overflowPunct w:val="0"/>
        <w:spacing w:before="120"/>
        <w:ind w:left="113"/>
        <w:jc w:val="both"/>
        <w:rPr>
          <w:b w:val="0"/>
          <w:bCs w:val="0"/>
        </w:rPr>
      </w:pPr>
      <w:r>
        <w:t>У вказаному Протоколі зазначено:</w:t>
      </w:r>
    </w:p>
    <w:p w14:paraId="2F8B608E" w14:textId="77777777" w:rsidR="00D92A51" w:rsidRPr="00C92BFF" w:rsidRDefault="00D92A51" w:rsidP="00C92BFF">
      <w:pPr>
        <w:pStyle w:val="a8"/>
        <w:kinsoku w:val="0"/>
        <w:overflowPunct w:val="0"/>
        <w:spacing w:before="360" w:line="237" w:lineRule="auto"/>
        <w:ind w:left="111" w:right="126"/>
        <w:jc w:val="both"/>
      </w:pPr>
      <w:r>
        <w:rPr>
          <w:i/>
        </w:rPr>
        <w:t xml:space="preserve">«Результати: Після ручного дослідження 17 969 унікальних записів у базі даних (з 57 001 оригінальним результатом запиту) пройшли мета-аналіз.  </w:t>
      </w:r>
      <w:r>
        <w:rPr>
          <w:b/>
          <w:bCs/>
          <w:i/>
        </w:rPr>
        <w:t>Церебролізин (30 мл / добу, внутрішньовенно, мінімум 10 днів)</w:t>
      </w:r>
      <w:r>
        <w:rPr>
          <w:i/>
        </w:rPr>
        <w:t xml:space="preserve"> та циталопрам (20 мг / добу, перорально)</w:t>
      </w:r>
      <w:r>
        <w:rPr>
          <w:b/>
          <w:bCs/>
          <w:i/>
        </w:rPr>
        <w:t xml:space="preserve"> рекомендуються для клінічного застосування для ранньої нейрореабілітації після гострого ішемічного інсульту.</w:t>
      </w:r>
    </w:p>
    <w:p w14:paraId="1103F3A4" w14:textId="77777777" w:rsidR="00D92A51" w:rsidRPr="00C92BFF" w:rsidRDefault="00D92A51" w:rsidP="005D2EFA">
      <w:pPr>
        <w:pStyle w:val="a8"/>
        <w:kinsoku w:val="0"/>
        <w:overflowPunct w:val="0"/>
        <w:spacing w:before="240" w:line="242" w:lineRule="auto"/>
        <w:ind w:left="111" w:right="112"/>
        <w:jc w:val="both"/>
      </w:pPr>
      <w:r>
        <w:t>«</w:t>
      </w:r>
      <w:r>
        <w:rPr>
          <w:i/>
          <w:iCs/>
        </w:rPr>
        <w:t>Висновки:</w:t>
      </w:r>
      <w:r>
        <w:rPr>
          <w:i/>
        </w:rPr>
        <w:t xml:space="preserve"> Ці рекомендації надають інформацію для клініцистів щодо існуючої фармакологічної підтримки при втручанні з метою нейровідновлення після гострого ішемічного інсульту.  Оновлення цього матеріалу потенційно висвітлить існуючі загадки, покращить поточні рекомендації та, сподіваємось, розширить терапевтичні можливості для тих, хто пережив інсульт».</w:t>
      </w:r>
    </w:p>
    <w:p w14:paraId="5FA69C10" w14:textId="77777777" w:rsidR="00D92A51" w:rsidRPr="00C92BFF" w:rsidRDefault="00D92A51" w:rsidP="005D2EFA">
      <w:pPr>
        <w:pStyle w:val="a8"/>
        <w:kinsoku w:val="0"/>
        <w:overflowPunct w:val="0"/>
        <w:spacing w:before="240" w:line="239" w:lineRule="auto"/>
        <w:ind w:left="111" w:right="120"/>
        <w:jc w:val="both"/>
      </w:pPr>
      <w:r>
        <w:rPr>
          <w:b/>
          <w:bCs/>
        </w:rPr>
        <w:t>Європейська академія неврології (European Academy of Neurology)</w:t>
      </w:r>
      <w:r>
        <w:t xml:space="preserve"> — це некомерційна організація, яка об’єднує та підтримує неврологів по всій Європі.  В даний час 47 європейських національних неврологічних товариств, а також 2300 осіб зареєстровані членами EAN.  Таким чином, EAN представляє понад 45 000 європейських неврологів.  </w:t>
      </w:r>
      <w:r>
        <w:rPr>
          <w:b/>
          <w:bCs/>
        </w:rPr>
        <w:t>ГО «Асоціація неврологів, психіатрів та наркологів України» є офіційним членом</w:t>
      </w:r>
      <w:r>
        <w:t xml:space="preserve"> EAN та має враховувати в своїй роботі її рекомендації. </w:t>
      </w:r>
    </w:p>
    <w:p w14:paraId="15BE0894" w14:textId="77777777" w:rsidR="00D92A51" w:rsidRPr="00C92BFF" w:rsidRDefault="00D92A51" w:rsidP="00C92BFF">
      <w:pPr>
        <w:pStyle w:val="a8"/>
        <w:kinsoku w:val="0"/>
        <w:overflowPunct w:val="0"/>
        <w:ind w:left="113" w:right="113"/>
        <w:jc w:val="both"/>
      </w:pPr>
      <w:r>
        <w:rPr>
          <w:b/>
          <w:bCs/>
        </w:rPr>
        <w:t>Європейська федерація нейрореабілітаційних товариств (European Federation of Neurorehabilitation Societies/EFNR)</w:t>
      </w:r>
      <w:r>
        <w:t xml:space="preserve"> — це міжнародна, позапартійна, неконфесійна, некомерційна організація, яка займається дослідженнями, освітою, інтелектуальним та науковим обміном, адвокацією та благодійною діяльністю в галузі нейрореабілітаційної медицини та суміжних професійних галузей.  </w:t>
      </w:r>
      <w:r>
        <w:rPr>
          <w:b/>
          <w:bCs/>
        </w:rPr>
        <w:t>ГО «Всеукраїнське товариство нейрореабілітації» є офіційним членом EFNR</w:t>
      </w:r>
      <w:r>
        <w:t xml:space="preserve"> та має враховувати в своїй роботі її рекомендації.</w:t>
      </w:r>
    </w:p>
    <w:p w14:paraId="365BC56C" w14:textId="77777777" w:rsidR="00D92A51" w:rsidRPr="00C92BFF" w:rsidRDefault="00D92A51" w:rsidP="005D2EFA">
      <w:pPr>
        <w:pStyle w:val="1"/>
        <w:kinsoku w:val="0"/>
        <w:overflowPunct w:val="0"/>
        <w:spacing w:before="240" w:line="235" w:lineRule="auto"/>
        <w:ind w:left="111" w:right="125"/>
        <w:jc w:val="both"/>
        <w:rPr>
          <w:b w:val="0"/>
          <w:bCs w:val="0"/>
        </w:rPr>
      </w:pPr>
      <w:r>
        <w:t xml:space="preserve">Таким чином, на підставі значної доказової бази Церебролізину європейські доказові організації дійшли висновку, що Церебролізин рекомендується для клінічного застосування для ранньої нейрореабілітації після гострого ішемічного інсульту. </w:t>
      </w:r>
    </w:p>
    <w:p w14:paraId="79B187CA" w14:textId="6BD0FC46" w:rsidR="00D92A51" w:rsidRPr="00C92BFF" w:rsidRDefault="00D92A51" w:rsidP="00613FA7">
      <w:pPr>
        <w:pStyle w:val="a8"/>
        <w:tabs>
          <w:tab w:val="left" w:pos="4675"/>
          <w:tab w:val="left" w:pos="8744"/>
        </w:tabs>
        <w:kinsoku w:val="0"/>
        <w:overflowPunct w:val="0"/>
        <w:spacing w:before="360" w:line="242" w:lineRule="auto"/>
        <w:ind w:left="113" w:right="119"/>
        <w:jc w:val="both"/>
        <w:rPr>
          <w:color w:val="000000"/>
          <w:spacing w:val="-4"/>
        </w:rPr>
      </w:pPr>
      <w:r>
        <w:t xml:space="preserve">Крім того, </w:t>
      </w:r>
      <w:r>
        <w:rPr>
          <w:b/>
          <w:bCs/>
        </w:rPr>
        <w:t>в останньому огляді досліджень в галузі нейрореабілітації, опублікованому в найбільш відомому у світі науковому журналі з доказової медицини «LANCET»</w:t>
      </w:r>
      <w:r>
        <w:t xml:space="preserve"> в 2020 році лікарський засіб «Церебролізин» (по результатах міжнародного дослідження CARS, в якому приймали участь три українських клінічних центра) визнаний єдиним препаратом, який продемонстрував ефективність у покращенні відновлення стану хворого після інсульту та його ускладнень (</w:t>
      </w:r>
      <w:hyperlink r:id="rId17" w:history="1">
        <w:r w:rsidR="003050C5" w:rsidRPr="00822916">
          <w:rPr>
            <w:rStyle w:val="aa"/>
          </w:rPr>
          <w:t>https://www.sciencedirect.com/science/article/abs/pii/S1474442219304156</w:t>
        </w:r>
      </w:hyperlink>
      <w:r>
        <w:t>.</w:t>
      </w:r>
    </w:p>
    <w:p w14:paraId="2AB33C22" w14:textId="77777777" w:rsidR="00D92A51" w:rsidRPr="005D2EFA" w:rsidRDefault="00D92A51" w:rsidP="00D92A51">
      <w:pPr>
        <w:pStyle w:val="a8"/>
        <w:tabs>
          <w:tab w:val="left" w:pos="4675"/>
          <w:tab w:val="left" w:pos="8744"/>
        </w:tabs>
        <w:kinsoku w:val="0"/>
        <w:overflowPunct w:val="0"/>
        <w:spacing w:line="242" w:lineRule="auto"/>
        <w:ind w:left="111" w:right="118"/>
        <w:jc w:val="both"/>
        <w:rPr>
          <w:color w:val="000000"/>
        </w:rPr>
      </w:pPr>
    </w:p>
    <w:p w14:paraId="39169F9F" w14:textId="77777777" w:rsidR="00D92A51" w:rsidRPr="00C92BFF" w:rsidRDefault="00D92A51" w:rsidP="00D92A51">
      <w:pPr>
        <w:sectPr w:rsidR="00D92A51" w:rsidRPr="00C92BFF" w:rsidSect="00D92A51">
          <w:headerReference w:type="default" r:id="rId18"/>
          <w:footerReference w:type="default" r:id="rId19"/>
          <w:pgSz w:w="11909" w:h="16840"/>
          <w:pgMar w:top="1948" w:right="962" w:bottom="117" w:left="1087" w:header="1134" w:footer="1835" w:gutter="0"/>
          <w:pgNumType w:start="1"/>
          <w:cols w:space="720"/>
          <w:noEndnote/>
          <w:docGrid w:linePitch="360"/>
        </w:sectPr>
      </w:pPr>
    </w:p>
    <w:p w14:paraId="33F6643D" w14:textId="77777777" w:rsidR="00D92A51" w:rsidRPr="00C92BFF" w:rsidRDefault="00D92A51" w:rsidP="005D2EFA">
      <w:pPr>
        <w:pStyle w:val="1"/>
        <w:kinsoku w:val="0"/>
        <w:overflowPunct w:val="0"/>
        <w:spacing w:before="120" w:line="242" w:lineRule="auto"/>
        <w:ind w:left="391" w:right="102"/>
        <w:jc w:val="both"/>
        <w:rPr>
          <w:b w:val="0"/>
          <w:bCs w:val="0"/>
        </w:rPr>
      </w:pPr>
      <w:r>
        <w:lastRenderedPageBreak/>
        <w:t xml:space="preserve">Також Церебролізин був включений до клінічних рекомендацій з лікування черепно-мозкової травми провідних західних країн, які є референтними для України, як препарат, який може покращити раннє відновлення після травми та покращити відновлення когнітивної функції та уваги у пацієнтів після черепно-мозкової травми.  Зокрема: </w:t>
      </w:r>
    </w:p>
    <w:p w14:paraId="0E704AF6" w14:textId="00CD3FBB" w:rsidR="00D92A51" w:rsidRPr="00F90F21" w:rsidRDefault="00D92A51" w:rsidP="00EE3BB9">
      <w:pPr>
        <w:pStyle w:val="a8"/>
        <w:numPr>
          <w:ilvl w:val="0"/>
          <w:numId w:val="2"/>
        </w:numPr>
        <w:tabs>
          <w:tab w:val="left" w:pos="753"/>
        </w:tabs>
        <w:kinsoku w:val="0"/>
        <w:overflowPunct w:val="0"/>
        <w:spacing w:before="240" w:line="276" w:lineRule="auto"/>
        <w:ind w:right="96"/>
        <w:jc w:val="both"/>
        <w:rPr>
          <w:color w:val="000000"/>
        </w:rPr>
      </w:pPr>
      <w:r>
        <w:rPr>
          <w:b/>
          <w:bCs/>
        </w:rPr>
        <w:t>Канадський огляд доказової бази в лікування черепно-мозкової травми середнього та важкого ступеню тяжкості ERABI,</w:t>
      </w:r>
      <w:r>
        <w:t xml:space="preserve"> оновлений в 2022 році, рекомендує Церебролізин з рівнем доказовості 1в як ефективне лікування, яке може покращити когнітивне відновлення після черепно-мозкової травми середнього та тяжкого ступеню важкості</w:t>
      </w:r>
      <w:r w:rsidR="00EE3BB9" w:rsidRPr="00EE3BB9">
        <w:t xml:space="preserve">: </w:t>
      </w:r>
      <w:hyperlink r:id="rId20" w:history="1">
        <w:r w:rsidR="00F90F21">
          <w:rPr>
            <w:color w:val="0462C1"/>
            <w:u w:val="single"/>
          </w:rPr>
          <w:t>https://erabi.b-cdn.net/wp-content/uploads/2021/09/ERABI-Module-6_-V15-</w:t>
        </w:r>
      </w:hyperlink>
      <w:r w:rsidR="00F90F21">
        <w:t xml:space="preserve"> </w:t>
      </w:r>
      <w:hyperlink r:id="rId21" w:history="1">
        <w:r w:rsidR="00F90F21">
          <w:rPr>
            <w:color w:val="0462C1"/>
            <w:u w:val="single"/>
          </w:rPr>
          <w:t>July-25-2022.pdf</w:t>
        </w:r>
      </w:hyperlink>
    </w:p>
    <w:p w14:paraId="04F867D5" w14:textId="77777777" w:rsidR="00D92A51" w:rsidRPr="005D2EFA" w:rsidRDefault="00D92A51" w:rsidP="00D92A51">
      <w:pPr>
        <w:pStyle w:val="a8"/>
        <w:kinsoku w:val="0"/>
        <w:overflowPunct w:val="0"/>
        <w:spacing w:before="2"/>
        <w:ind w:left="0"/>
        <w:rPr>
          <w:sz w:val="11"/>
          <w:szCs w:val="11"/>
        </w:rPr>
      </w:pPr>
    </w:p>
    <w:p w14:paraId="48B40D27" w14:textId="341B87DA" w:rsidR="00D92A51" w:rsidRDefault="00D92A51" w:rsidP="00D92A51">
      <w:pPr>
        <w:pStyle w:val="a8"/>
        <w:numPr>
          <w:ilvl w:val="0"/>
          <w:numId w:val="2"/>
        </w:numPr>
        <w:tabs>
          <w:tab w:val="left" w:pos="647"/>
        </w:tabs>
        <w:kinsoku w:val="0"/>
        <w:overflowPunct w:val="0"/>
        <w:spacing w:before="90" w:line="240" w:lineRule="exact"/>
        <w:ind w:left="392" w:right="212" w:firstLine="0"/>
      </w:pPr>
      <w:r>
        <w:rPr>
          <w:b/>
          <w:bCs/>
        </w:rPr>
        <w:t>Румунські протоколи з лікування черепно-мозкової травми</w:t>
      </w:r>
      <w:r>
        <w:t xml:space="preserve"> рекомендують використання Церебролізину:   в гострій фазі та довгостроково </w:t>
      </w:r>
      <w:hyperlink r:id="rId22" w:history="1">
        <w:r w:rsidR="00D26720" w:rsidRPr="00822916">
          <w:rPr>
            <w:rStyle w:val="aa"/>
          </w:rPr>
          <w:t>https://www.formaremedicala.ro/n026f-dci-hidrolizat-din-creier-de-porcina/</w:t>
        </w:r>
      </w:hyperlink>
    </w:p>
    <w:p w14:paraId="6BF62C03" w14:textId="77777777" w:rsidR="00D92A51" w:rsidRPr="00C92BFF" w:rsidRDefault="00D92A51" w:rsidP="00C92BFF">
      <w:pPr>
        <w:pStyle w:val="a8"/>
        <w:kinsoku w:val="0"/>
        <w:overflowPunct w:val="0"/>
        <w:spacing w:before="360" w:line="242" w:lineRule="auto"/>
        <w:ind w:left="391" w:right="102"/>
        <w:jc w:val="both"/>
        <w:rPr>
          <w:color w:val="000000"/>
        </w:rPr>
      </w:pPr>
      <w:r>
        <w:t xml:space="preserve">В Європейському журналі Springer були опубліковані результати останнього метааналізу дослідження Церебролізину у пацієнтів після ЧМТ: </w:t>
      </w:r>
      <w:r>
        <w:rPr>
          <w:b/>
        </w:rPr>
        <w:t xml:space="preserve">«Церебролізин після черепно-мозкової травми середнього та тяжкого ступеня: проспективний метааналіз серії досліджень CAPTAIN»: </w:t>
      </w:r>
      <w:r>
        <w:rPr>
          <w:b/>
          <w:i/>
          <w:color w:val="0462C1"/>
        </w:rPr>
        <w:t xml:space="preserve"> </w:t>
      </w:r>
      <w:hyperlink r:id="rId23" w:history="1">
        <w:r>
          <w:rPr>
            <w:b/>
            <w:i/>
            <w:color w:val="0462C1"/>
            <w:u w:val="thick"/>
          </w:rPr>
          <w:t>https://link.springer.com/article/10.1007/s10072-020-04974-6</w:t>
        </w:r>
        <w:r>
          <w:rPr>
            <w:b/>
            <w:color w:val="000000"/>
          </w:rPr>
          <w:t>.</w:t>
        </w:r>
      </w:hyperlink>
    </w:p>
    <w:p w14:paraId="5E034DCC" w14:textId="77777777" w:rsidR="00D92A51" w:rsidRPr="00C92BFF" w:rsidRDefault="00D92A51" w:rsidP="00D92A51">
      <w:pPr>
        <w:pStyle w:val="a8"/>
        <w:kinsoku w:val="0"/>
        <w:overflowPunct w:val="0"/>
        <w:spacing w:line="238" w:lineRule="exact"/>
        <w:ind w:left="391"/>
        <w:jc w:val="both"/>
      </w:pPr>
      <w:r>
        <w:t xml:space="preserve">В даному проспективному метааналізі узагальнені результати серії досліджень CAPTAIN з оцінки </w:t>
      </w:r>
    </w:p>
    <w:p w14:paraId="3FCC7BBA" w14:textId="77777777" w:rsidR="00D92A51" w:rsidRPr="00C92BFF" w:rsidRDefault="00D92A51" w:rsidP="00D92A51">
      <w:pPr>
        <w:pStyle w:val="a8"/>
        <w:kinsoku w:val="0"/>
        <w:overflowPunct w:val="0"/>
        <w:spacing w:before="2"/>
        <w:ind w:left="391" w:right="103"/>
        <w:jc w:val="both"/>
      </w:pPr>
      <w:r>
        <w:t xml:space="preserve">ефектів Церебролізину, що призначався на додаток до стандартної терапії, у разі черепно-мозкової травми середнього та тяжкого ступеня.  Метааналіз показав, що лікування Церебролізином асоціюється з </w:t>
      </w:r>
      <w:r>
        <w:rPr>
          <w:b/>
          <w:bCs/>
        </w:rPr>
        <w:t>покращенням загального одужання</w:t>
      </w:r>
      <w:r>
        <w:t xml:space="preserve"> на 90-й день після ЧМТ, підтверджене статистично достовірною перевагою по 13 окремим клінічним шкалам, достовірну перевагу в відношенні раннього відновлення вже на 10-й день, </w:t>
      </w:r>
      <w:r>
        <w:rPr>
          <w:b/>
          <w:bCs/>
        </w:rPr>
        <w:t xml:space="preserve">покращення когнітивного відновлення та зменшення частоти виникнення депресії. </w:t>
      </w:r>
      <w:r>
        <w:rPr>
          <w:b/>
        </w:rPr>
        <w:t xml:space="preserve"> </w:t>
      </w:r>
      <w:r>
        <w:t>Це дозволить прискорити раннє відновлення, зменшити час перебування пацієнтів в стаціонарі, покращити якість життя та відновлення працездатності пацієнтів після черепно-мозкової травми.  Автори дослідження зробили наступний висновок:</w:t>
      </w:r>
    </w:p>
    <w:p w14:paraId="22B368A3" w14:textId="77777777" w:rsidR="00D92A51" w:rsidRPr="00C92BFF" w:rsidRDefault="00D92A51" w:rsidP="00D92A51">
      <w:pPr>
        <w:pStyle w:val="a8"/>
        <w:kinsoku w:val="0"/>
        <w:overflowPunct w:val="0"/>
        <w:spacing w:before="2" w:line="242" w:lineRule="auto"/>
        <w:ind w:left="391" w:right="104"/>
        <w:jc w:val="both"/>
      </w:pPr>
      <w:r>
        <w:rPr>
          <w:b/>
          <w:bCs/>
          <w:i/>
          <w:iCs/>
        </w:rPr>
        <w:t>«Метааналіз досліджень CAPTAIN підтверджує безпеку та ефективність Церебролізину після середньо-важкої ЧМТ, відкриваючи новий горизонт щодо нейровідновлення.</w:t>
      </w:r>
      <w:r>
        <w:t xml:space="preserve"> </w:t>
      </w:r>
      <w:r>
        <w:rPr>
          <w:b/>
          <w:i/>
        </w:rPr>
        <w:t xml:space="preserve"> </w:t>
      </w:r>
      <w:r>
        <w:rPr>
          <w:b/>
          <w:bCs/>
          <w:i/>
        </w:rPr>
        <w:t>Слід розглянути питання про включення Церебролізину в існуючі рекомендації після ретельного перегляду міжнародних критеріїв».</w:t>
      </w:r>
    </w:p>
    <w:p w14:paraId="57C1F56D" w14:textId="77777777" w:rsidR="00D92A51" w:rsidRPr="00C92BFF" w:rsidRDefault="00D92A51" w:rsidP="005D2EFA">
      <w:pPr>
        <w:pStyle w:val="a8"/>
        <w:kinsoku w:val="0"/>
        <w:overflowPunct w:val="0"/>
        <w:spacing w:before="240" w:line="238" w:lineRule="auto"/>
        <w:ind w:left="391" w:right="113"/>
        <w:jc w:val="both"/>
      </w:pPr>
      <w:r>
        <w:t>Отже, існує багаторічний досвід клінічних досліджень з оцінки клінічної ефективності та безпеки Церебролізину при інсульті та черепно-мозкових травмах, які були проаналізовані незалежними науковими товариствами та дозволили сформулювати чіткі рекомендації щодо застосування Церебролізину з метою покращення результатів лікування пацієнтів.</w:t>
      </w:r>
    </w:p>
    <w:p w14:paraId="46F149FD" w14:textId="77777777" w:rsidR="00D92A51" w:rsidRPr="00C92BFF" w:rsidRDefault="00C92BFF" w:rsidP="005D2EFA">
      <w:pPr>
        <w:pStyle w:val="a8"/>
        <w:kinsoku w:val="0"/>
        <w:overflowPunct w:val="0"/>
        <w:spacing w:before="240"/>
        <w:ind w:left="0"/>
      </w:pPr>
      <w:r w:rsidRPr="006E79E0">
        <w:t>/підпис/</w:t>
      </w:r>
    </w:p>
    <w:p w14:paraId="31B03E43" w14:textId="77777777" w:rsidR="00D92A51" w:rsidRPr="00C92BFF" w:rsidRDefault="00D92A51" w:rsidP="005D2EFA">
      <w:pPr>
        <w:pStyle w:val="a8"/>
        <w:kinsoku w:val="0"/>
        <w:overflowPunct w:val="0"/>
        <w:spacing w:before="120"/>
        <w:ind w:left="108"/>
      </w:pPr>
      <w:r>
        <w:t>Доктор Стефан Вінтер (Stefan Winter), магістр бізнес-адміністрування (MBA)</w:t>
      </w:r>
    </w:p>
    <w:p w14:paraId="51515187" w14:textId="77777777" w:rsidR="00723B98" w:rsidRPr="00C92BFF" w:rsidRDefault="00D92A51" w:rsidP="005D2EFA">
      <w:pPr>
        <w:pStyle w:val="a8"/>
        <w:kinsoku w:val="0"/>
        <w:overflowPunct w:val="0"/>
        <w:spacing w:before="17"/>
        <w:ind w:left="106" w:right="4757"/>
        <w:rPr>
          <w:spacing w:val="-1"/>
        </w:rPr>
      </w:pPr>
      <w:r>
        <w:t>Керівник відділу досліджень і розробок компанії «EVER Neuro Pharma»</w:t>
      </w:r>
    </w:p>
    <w:sectPr w:rsidR="00723B98" w:rsidRPr="00C92BFF" w:rsidSect="00D92A51">
      <w:pgSz w:w="11909" w:h="16840"/>
      <w:pgMar w:top="1948" w:right="962" w:bottom="117" w:left="1087" w:header="1134" w:footer="183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9552" w14:textId="77777777" w:rsidR="008D44B0" w:rsidRDefault="008D44B0">
      <w:r>
        <w:separator/>
      </w:r>
    </w:p>
  </w:endnote>
  <w:endnote w:type="continuationSeparator" w:id="0">
    <w:p w14:paraId="6BA33C84" w14:textId="77777777" w:rsidR="008D44B0" w:rsidRDefault="008D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21BA" w14:textId="77777777" w:rsidR="00E033DE" w:rsidRDefault="00E033DE" w:rsidP="00E033DE">
    <w:pPr>
      <w:pStyle w:val="11"/>
      <w:framePr w:w="2304" w:h="1027" w:wrap="none" w:vAnchor="page" w:hAnchor="page" w:x="1160" w:y="15149"/>
      <w:rPr>
        <w:sz w:val="12"/>
        <w:szCs w:val="12"/>
      </w:rPr>
    </w:pPr>
    <w:r>
      <w:rPr>
        <w:b/>
        <w:color w:val="CB1D43"/>
        <w:sz w:val="12"/>
      </w:rPr>
      <w:t>EVER Neuro Pharma GmbH</w:t>
    </w:r>
  </w:p>
  <w:p w14:paraId="246A9BA9" w14:textId="77777777" w:rsidR="00E033DE" w:rsidRDefault="00E033DE" w:rsidP="00E033DE">
    <w:pPr>
      <w:pStyle w:val="11"/>
      <w:framePr w:w="2304" w:h="1027" w:wrap="none" w:vAnchor="page" w:hAnchor="page" w:x="1160" w:y="15149"/>
    </w:pPr>
    <w:r>
      <w:t>Обербургау 3, 4866 Унтерах, Австрія</w:t>
    </w:r>
  </w:p>
  <w:p w14:paraId="28E279FD" w14:textId="77777777" w:rsidR="00E033DE" w:rsidRDefault="00E033DE" w:rsidP="00E033DE">
    <w:pPr>
      <w:pStyle w:val="11"/>
      <w:framePr w:w="2304" w:h="1027" w:wrap="none" w:vAnchor="page" w:hAnchor="page" w:x="1160" w:y="15149"/>
    </w:pPr>
    <w:r>
      <w:t xml:space="preserve">Тел.: +43 7665 20 555 </w:t>
    </w:r>
    <w:r>
      <w:rPr>
        <w:color w:val="BCBCBC"/>
      </w:rPr>
      <w:t xml:space="preserve">- </w:t>
    </w:r>
    <w:r>
      <w:t>0</w:t>
    </w:r>
  </w:p>
  <w:p w14:paraId="136E9F5A" w14:textId="77777777" w:rsidR="00E033DE" w:rsidRDefault="00E033DE" w:rsidP="00E033DE">
    <w:pPr>
      <w:pStyle w:val="11"/>
      <w:framePr w:w="2304" w:h="1027" w:wrap="none" w:vAnchor="page" w:hAnchor="page" w:x="1160" w:y="15149"/>
      <w:spacing w:after="160"/>
    </w:pPr>
    <w:r>
      <w:t xml:space="preserve">Ел. пошта: </w:t>
    </w:r>
    <w:hyperlink r:id="rId1" w:history="1">
      <w:r>
        <w:t>office@everpharma.com</w:t>
      </w:r>
    </w:hyperlink>
  </w:p>
  <w:p w14:paraId="15E3FB44" w14:textId="77777777" w:rsidR="00E033DE" w:rsidRDefault="00E033DE" w:rsidP="00E033DE">
    <w:pPr>
      <w:pStyle w:val="11"/>
      <w:framePr w:w="2304" w:h="1027" w:wrap="none" w:vAnchor="page" w:hAnchor="page" w:x="1160" w:y="15149"/>
    </w:pPr>
    <w:r>
      <w:t xml:space="preserve">Номер у Реєстрі компаній: </w:t>
    </w:r>
    <w:r>
      <w:rPr>
        <w:color w:val="838488"/>
      </w:rPr>
      <w:t xml:space="preserve">FN </w:t>
    </w:r>
    <w:r>
      <w:t>316993 t</w:t>
    </w:r>
  </w:p>
  <w:p w14:paraId="662B22B0" w14:textId="77777777" w:rsidR="00E033DE" w:rsidRDefault="00E033DE" w:rsidP="00E033DE">
    <w:pPr>
      <w:pStyle w:val="11"/>
      <w:framePr w:w="2304" w:h="1027" w:wrap="none" w:vAnchor="page" w:hAnchor="page" w:x="1160" w:y="15149"/>
    </w:pPr>
    <w:r>
      <w:t>Суд реєстрації: Регіональний суд Зальцбурга</w:t>
    </w:r>
  </w:p>
  <w:p w14:paraId="1FDEA29D" w14:textId="77777777" w:rsidR="00E033DE" w:rsidRDefault="00E033DE" w:rsidP="00E033DE">
    <w:pPr>
      <w:pStyle w:val="11"/>
      <w:framePr w:w="3134" w:h="1598" w:wrap="none" w:vAnchor="page" w:hAnchor="page" w:x="7630" w:y="15056"/>
      <w:rPr>
        <w:sz w:val="12"/>
        <w:szCs w:val="12"/>
      </w:rPr>
    </w:pPr>
    <w:r>
      <w:rPr>
        <w:b/>
        <w:color w:val="686D73"/>
        <w:sz w:val="12"/>
      </w:rPr>
      <w:t>Банківські реквізити:</w:t>
    </w:r>
  </w:p>
  <w:p w14:paraId="3B11315C" w14:textId="77777777" w:rsidR="00E033DE" w:rsidRDefault="00E033DE" w:rsidP="00E033DE">
    <w:pPr>
      <w:pStyle w:val="11"/>
      <w:framePr w:w="3134" w:h="1598" w:wrap="none" w:vAnchor="page" w:hAnchor="page" w:x="7630" w:y="15056"/>
      <w:rPr>
        <w:sz w:val="12"/>
        <w:szCs w:val="12"/>
      </w:rPr>
    </w:pPr>
    <w:r>
      <w:rPr>
        <w:b/>
        <w:color w:val="686D73"/>
        <w:sz w:val="12"/>
      </w:rPr>
      <w:t>UniCredit Bank Austria AG</w:t>
    </w:r>
  </w:p>
  <w:p w14:paraId="1D9F6579" w14:textId="77777777" w:rsidR="00E033DE" w:rsidRDefault="00E033DE" w:rsidP="00E033DE">
    <w:pPr>
      <w:pStyle w:val="11"/>
      <w:framePr w:w="3134" w:h="1598" w:wrap="none" w:vAnchor="page" w:hAnchor="page" w:x="7630" w:y="15056"/>
    </w:pPr>
    <w:r>
      <w:t>IBAN AT35 1200 0529 6200 4005, BIC BKAUATWW (EUR)</w:t>
    </w:r>
  </w:p>
  <w:p w14:paraId="07049EA3" w14:textId="77777777" w:rsidR="00E033DE" w:rsidRDefault="00E033DE" w:rsidP="00E033DE">
    <w:pPr>
      <w:pStyle w:val="11"/>
      <w:framePr w:w="3134" w:h="1598" w:wrap="none" w:vAnchor="page" w:hAnchor="page" w:x="7630" w:y="15056"/>
    </w:pPr>
    <w:r>
      <w:t>IBAN AT19 1200 0529 6200 4002, BIC BKAUATWW (USD)</w:t>
    </w:r>
  </w:p>
  <w:p w14:paraId="57469839" w14:textId="77777777" w:rsidR="00E033DE" w:rsidRDefault="00E033DE" w:rsidP="00E033DE">
    <w:pPr>
      <w:pStyle w:val="11"/>
      <w:framePr w:w="3134" w:h="1598" w:wrap="none" w:vAnchor="page" w:hAnchor="page" w:x="7630" w:y="15056"/>
    </w:pPr>
    <w:r>
      <w:t>IBAN AT62 1200 0529 6200 4004, BIC BKAUATWW (RON)</w:t>
    </w:r>
  </w:p>
  <w:p w14:paraId="4A4AA7B6" w14:textId="77777777" w:rsidR="00E033DE" w:rsidRDefault="00E033DE" w:rsidP="00E033DE">
    <w:pPr>
      <w:pStyle w:val="11"/>
      <w:framePr w:w="3134" w:h="1598" w:wrap="none" w:vAnchor="page" w:hAnchor="page" w:x="7630" w:y="15056"/>
      <w:rPr>
        <w:sz w:val="12"/>
        <w:szCs w:val="12"/>
      </w:rPr>
    </w:pPr>
    <w:r>
      <w:rPr>
        <w:b/>
        <w:color w:val="686D73"/>
        <w:sz w:val="12"/>
      </w:rPr>
      <w:t>Raiffeisenlandesbank Oberösterreich AG</w:t>
    </w:r>
  </w:p>
  <w:p w14:paraId="2D10C543" w14:textId="77777777" w:rsidR="00E033DE" w:rsidRDefault="00E033DE" w:rsidP="00E033DE">
    <w:pPr>
      <w:pStyle w:val="11"/>
      <w:framePr w:w="3134" w:h="1598" w:wrap="none" w:vAnchor="page" w:hAnchor="page" w:x="7630" w:y="15056"/>
    </w:pPr>
    <w:r>
      <w:t>IBAN AT98 3400 0000 0269 6268, BIC RZOOAT2L (EUR)</w:t>
    </w:r>
  </w:p>
  <w:p w14:paraId="776C7480" w14:textId="77777777" w:rsidR="00E033DE" w:rsidRDefault="00E033DE" w:rsidP="00E033DE">
    <w:pPr>
      <w:pStyle w:val="11"/>
      <w:framePr w:w="3134" w:h="1598" w:wrap="none" w:vAnchor="page" w:hAnchor="page" w:x="7630" w:y="15056"/>
    </w:pPr>
    <w:r>
      <w:t>IBAN AT96 3400 0701 0269 6268, BIC RZOOAT2L (USD)</w:t>
    </w:r>
  </w:p>
  <w:p w14:paraId="16BE588D" w14:textId="77777777" w:rsidR="00E033DE" w:rsidRDefault="00E033DE" w:rsidP="00E033DE">
    <w:pPr>
      <w:pStyle w:val="11"/>
      <w:framePr w:w="3134" w:h="1598" w:wrap="none" w:vAnchor="page" w:hAnchor="page" w:x="7630" w:y="15056"/>
      <w:rPr>
        <w:sz w:val="12"/>
        <w:szCs w:val="12"/>
      </w:rPr>
    </w:pPr>
    <w:r>
      <w:rPr>
        <w:b/>
        <w:color w:val="686D73"/>
        <w:sz w:val="12"/>
      </w:rPr>
      <w:t>Raiffeisen Zentralbank Österreich AG</w:t>
    </w:r>
  </w:p>
  <w:p w14:paraId="1F57CB0D" w14:textId="77777777" w:rsidR="00E033DE" w:rsidRDefault="00E033DE" w:rsidP="00E033DE">
    <w:pPr>
      <w:pStyle w:val="11"/>
      <w:framePr w:w="3134" w:h="1598" w:wrap="none" w:vAnchor="page" w:hAnchor="page" w:x="7630" w:y="15056"/>
    </w:pPr>
    <w:r>
      <w:t>IBAN AT42 3100 0001 0416 4091, BIC RZBAATWW (EUR)</w:t>
    </w:r>
  </w:p>
  <w:p w14:paraId="0615838C" w14:textId="77777777" w:rsidR="00E033DE" w:rsidRDefault="00E033DE" w:rsidP="00E033DE">
    <w:pPr>
      <w:pStyle w:val="11"/>
      <w:framePr w:w="3134" w:h="1598" w:wrap="none" w:vAnchor="page" w:hAnchor="page" w:x="7630" w:y="15056"/>
    </w:pPr>
    <w:r>
      <w:t>IBAN AT23 3100 0070 5416 4090, BIC RZBAATWW (USD)</w:t>
    </w:r>
  </w:p>
  <w:p w14:paraId="026452D4" w14:textId="77777777" w:rsidR="00E033DE" w:rsidRDefault="00E033DE" w:rsidP="00E033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9C54" w14:textId="77777777" w:rsidR="008D44B0" w:rsidRDefault="008D44B0"/>
  </w:footnote>
  <w:footnote w:type="continuationSeparator" w:id="0">
    <w:p w14:paraId="5D12AB30" w14:textId="77777777" w:rsidR="008D44B0" w:rsidRDefault="008D44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B3BF" w14:textId="4A12243B" w:rsidR="00E033DE" w:rsidRDefault="005D2EFA" w:rsidP="00E033DE">
    <w:pPr>
      <w:pStyle w:val="20"/>
    </w:pPr>
    <w:r>
      <w:rPr>
        <w:noProof/>
      </w:rPr>
      <w:drawing>
        <wp:anchor distT="0" distB="0" distL="0" distR="0" simplePos="0" relativeHeight="251658752" behindDoc="1" locked="0" layoutInCell="1" allowOverlap="1" wp14:anchorId="37D841C8" wp14:editId="56A78CE9">
          <wp:simplePos x="0" y="0"/>
          <wp:positionH relativeFrom="page">
            <wp:posOffset>5348929</wp:posOffset>
          </wp:positionH>
          <wp:positionV relativeFrom="margin">
            <wp:posOffset>-592145</wp:posOffset>
          </wp:positionV>
          <wp:extent cx="1603375" cy="457200"/>
          <wp:effectExtent l="0" t="0" r="0" b="0"/>
          <wp:wrapNone/>
          <wp:docPr id="117928230" name="Рисунок 1179282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box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6033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3DE">
      <w:t>EVER Neuro Pharma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12" w:hanging="360"/>
      </w:pPr>
      <w:rPr>
        <w:rFonts w:ascii="Arial" w:hAnsi="Arial" w:cs="Arial"/>
        <w:b/>
        <w:bCs/>
        <w:spacing w:val="-6"/>
        <w:w w:val="102"/>
        <w:sz w:val="22"/>
        <w:szCs w:val="22"/>
      </w:rPr>
    </w:lvl>
    <w:lvl w:ilvl="1">
      <w:numFmt w:val="bullet"/>
      <w:lvlText w:val="•"/>
      <w:lvlJc w:val="left"/>
      <w:pPr>
        <w:ind w:left="1960" w:hanging="360"/>
      </w:pPr>
    </w:lvl>
    <w:lvl w:ilvl="2">
      <w:numFmt w:val="bullet"/>
      <w:lvlText w:val="•"/>
      <w:lvlJc w:val="left"/>
      <w:pPr>
        <w:ind w:left="2808" w:hanging="360"/>
      </w:pPr>
    </w:lvl>
    <w:lvl w:ilvl="3">
      <w:numFmt w:val="bullet"/>
      <w:lvlText w:val="•"/>
      <w:lvlJc w:val="left"/>
      <w:pPr>
        <w:ind w:left="3657" w:hanging="360"/>
      </w:pPr>
    </w:lvl>
    <w:lvl w:ilvl="4">
      <w:numFmt w:val="bullet"/>
      <w:lvlText w:val="•"/>
      <w:lvlJc w:val="left"/>
      <w:pPr>
        <w:ind w:left="4505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201" w:hanging="360"/>
      </w:pPr>
    </w:lvl>
    <w:lvl w:ilvl="7">
      <w:numFmt w:val="bullet"/>
      <w:lvlText w:val="•"/>
      <w:lvlJc w:val="left"/>
      <w:pPr>
        <w:ind w:left="7050" w:hanging="360"/>
      </w:pPr>
    </w:lvl>
    <w:lvl w:ilvl="8">
      <w:numFmt w:val="bullet"/>
      <w:lvlText w:val="•"/>
      <w:lvlJc w:val="left"/>
      <w:pPr>
        <w:ind w:left="789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752" w:hanging="361"/>
      </w:pPr>
      <w:rPr>
        <w:rFonts w:ascii="Arial" w:hAnsi="Arial" w:cs="Arial"/>
        <w:b/>
        <w:bCs/>
        <w:spacing w:val="-6"/>
        <w:w w:val="102"/>
        <w:sz w:val="22"/>
        <w:szCs w:val="22"/>
      </w:rPr>
    </w:lvl>
    <w:lvl w:ilvl="1">
      <w:numFmt w:val="bullet"/>
      <w:lvlText w:val="•"/>
      <w:lvlJc w:val="left"/>
      <w:pPr>
        <w:ind w:left="1634" w:hanging="361"/>
      </w:pPr>
    </w:lvl>
    <w:lvl w:ilvl="2">
      <w:numFmt w:val="bullet"/>
      <w:lvlText w:val="•"/>
      <w:lvlJc w:val="left"/>
      <w:pPr>
        <w:ind w:left="2517" w:hanging="361"/>
      </w:pPr>
    </w:lvl>
    <w:lvl w:ilvl="3">
      <w:numFmt w:val="bullet"/>
      <w:lvlText w:val="•"/>
      <w:lvlJc w:val="left"/>
      <w:pPr>
        <w:ind w:left="3399" w:hanging="361"/>
      </w:pPr>
    </w:lvl>
    <w:lvl w:ilvl="4">
      <w:numFmt w:val="bullet"/>
      <w:lvlText w:val="•"/>
      <w:lvlJc w:val="left"/>
      <w:pPr>
        <w:ind w:left="4281" w:hanging="361"/>
      </w:pPr>
    </w:lvl>
    <w:lvl w:ilvl="5">
      <w:numFmt w:val="bullet"/>
      <w:lvlText w:val="•"/>
      <w:lvlJc w:val="left"/>
      <w:pPr>
        <w:ind w:left="5163" w:hanging="361"/>
      </w:pPr>
    </w:lvl>
    <w:lvl w:ilvl="6">
      <w:numFmt w:val="bullet"/>
      <w:lvlText w:val="•"/>
      <w:lvlJc w:val="left"/>
      <w:pPr>
        <w:ind w:left="6046" w:hanging="361"/>
      </w:pPr>
    </w:lvl>
    <w:lvl w:ilvl="7">
      <w:numFmt w:val="bullet"/>
      <w:lvlText w:val="•"/>
      <w:lvlJc w:val="left"/>
      <w:pPr>
        <w:ind w:left="6928" w:hanging="361"/>
      </w:pPr>
    </w:lvl>
    <w:lvl w:ilvl="8">
      <w:numFmt w:val="bullet"/>
      <w:lvlText w:val="•"/>
      <w:lvlJc w:val="left"/>
      <w:pPr>
        <w:ind w:left="7810" w:hanging="361"/>
      </w:pPr>
    </w:lvl>
  </w:abstractNum>
  <w:num w:numId="1" w16cid:durableId="717319058">
    <w:abstractNumId w:val="0"/>
  </w:num>
  <w:num w:numId="2" w16cid:durableId="92870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98"/>
    <w:rsid w:val="00063045"/>
    <w:rsid w:val="0024616B"/>
    <w:rsid w:val="002F4631"/>
    <w:rsid w:val="002F4EE5"/>
    <w:rsid w:val="003050C5"/>
    <w:rsid w:val="003244D6"/>
    <w:rsid w:val="00380763"/>
    <w:rsid w:val="003A1621"/>
    <w:rsid w:val="003F2171"/>
    <w:rsid w:val="004408FB"/>
    <w:rsid w:val="00492303"/>
    <w:rsid w:val="004F0DD9"/>
    <w:rsid w:val="0050085C"/>
    <w:rsid w:val="005D2EFA"/>
    <w:rsid w:val="005F7099"/>
    <w:rsid w:val="00613FA7"/>
    <w:rsid w:val="00614E79"/>
    <w:rsid w:val="006E79E0"/>
    <w:rsid w:val="00723B98"/>
    <w:rsid w:val="007463E3"/>
    <w:rsid w:val="008D44B0"/>
    <w:rsid w:val="00900940"/>
    <w:rsid w:val="009B4B73"/>
    <w:rsid w:val="009F4859"/>
    <w:rsid w:val="00A331F1"/>
    <w:rsid w:val="00A81568"/>
    <w:rsid w:val="00AB1941"/>
    <w:rsid w:val="00B46476"/>
    <w:rsid w:val="00B932B1"/>
    <w:rsid w:val="00C431B5"/>
    <w:rsid w:val="00C876B5"/>
    <w:rsid w:val="00C92BFF"/>
    <w:rsid w:val="00CA72D4"/>
    <w:rsid w:val="00D04FF8"/>
    <w:rsid w:val="00D26720"/>
    <w:rsid w:val="00D92A51"/>
    <w:rsid w:val="00DB1926"/>
    <w:rsid w:val="00E033DE"/>
    <w:rsid w:val="00ED4FD5"/>
    <w:rsid w:val="00EE3BB9"/>
    <w:rsid w:val="00F90F21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CF7C5"/>
  <w15:docId w15:val="{7BE8A350-939A-4045-AC3B-1DEC04C8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D92A51"/>
    <w:pPr>
      <w:autoSpaceDE w:val="0"/>
      <w:autoSpaceDN w:val="0"/>
      <w:adjustRightInd w:val="0"/>
      <w:ind w:left="106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9E9FA2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1072E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Pr>
      <w:rFonts w:ascii="Arial" w:eastAsia="Arial" w:hAnsi="Arial" w:cs="Arial"/>
      <w:color w:val="9E9FA2"/>
      <w:sz w:val="11"/>
      <w:szCs w:val="11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b/>
      <w:bCs/>
      <w:color w:val="E1072E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033D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033DE"/>
    <w:rPr>
      <w:color w:val="000000"/>
    </w:rPr>
  </w:style>
  <w:style w:type="paragraph" w:styleId="a6">
    <w:name w:val="footer"/>
    <w:basedOn w:val="a"/>
    <w:link w:val="a7"/>
    <w:uiPriority w:val="99"/>
    <w:unhideWhenUsed/>
    <w:rsid w:val="00E033D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033DE"/>
    <w:rPr>
      <w:color w:val="000000"/>
    </w:rPr>
  </w:style>
  <w:style w:type="character" w:customStyle="1" w:styleId="10">
    <w:name w:val="Заголовок 1 Знак"/>
    <w:basedOn w:val="a0"/>
    <w:link w:val="1"/>
    <w:uiPriority w:val="1"/>
    <w:rsid w:val="00D92A51"/>
    <w:rPr>
      <w:rFonts w:ascii="Arial" w:eastAsiaTheme="minorEastAsia" w:hAnsi="Arial" w:cs="Arial"/>
      <w:b/>
      <w:bCs/>
      <w:sz w:val="22"/>
      <w:szCs w:val="22"/>
      <w:lang w:val="uk-UA" w:eastAsia="ru-RU" w:bidi="ar-SA"/>
    </w:rPr>
  </w:style>
  <w:style w:type="paragraph" w:styleId="a8">
    <w:name w:val="Body Text"/>
    <w:basedOn w:val="a"/>
    <w:link w:val="a9"/>
    <w:uiPriority w:val="1"/>
    <w:qFormat/>
    <w:rsid w:val="00D92A51"/>
    <w:pPr>
      <w:autoSpaceDE w:val="0"/>
      <w:autoSpaceDN w:val="0"/>
      <w:adjustRightInd w:val="0"/>
      <w:ind w:left="1112"/>
    </w:pPr>
    <w:rPr>
      <w:rFonts w:ascii="Arial" w:eastAsiaTheme="minorEastAsia" w:hAnsi="Arial" w:cs="Arial"/>
      <w:color w:val="auto"/>
      <w:sz w:val="22"/>
      <w:szCs w:val="22"/>
      <w:lang w:eastAsia="ru-RU" w:bidi="ar-SA"/>
    </w:rPr>
  </w:style>
  <w:style w:type="character" w:customStyle="1" w:styleId="a9">
    <w:name w:val="Основний текст Знак"/>
    <w:basedOn w:val="a0"/>
    <w:link w:val="a8"/>
    <w:uiPriority w:val="1"/>
    <w:rsid w:val="00D92A51"/>
    <w:rPr>
      <w:rFonts w:ascii="Arial" w:eastAsiaTheme="minorEastAsia" w:hAnsi="Arial" w:cs="Arial"/>
      <w:sz w:val="22"/>
      <w:szCs w:val="22"/>
      <w:lang w:val="uk-UA" w:eastAsia="ru-RU" w:bidi="ar-SA"/>
    </w:rPr>
  </w:style>
  <w:style w:type="character" w:styleId="aa">
    <w:name w:val="Hyperlink"/>
    <w:basedOn w:val="a0"/>
    <w:uiPriority w:val="99"/>
    <w:unhideWhenUsed/>
    <w:rsid w:val="0090094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0094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26720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CA7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gsf-rna.at/wp-content/uploads/2016/11/Positionspapier-2018_OEGSF_neurologisch.pdf" TargetMode="External"/><Relationship Id="rId13" Type="http://schemas.openxmlformats.org/officeDocument/2006/relationships/hyperlink" Target="http://www.ebrsr.com/sites/default/files/EBRSR%20Handbook%20Chapter%204_Upper%20Extremity%20Post%20Stroke_ML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rabi.b-cdn.net/wp-content/uploads/2021/09/ERABI-Module-6_-V15-July-25-202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brsr.com/sites/default/files/EBRSR%20Handbook%20Chapter%204_Upper%20Extremity%20Post%20Stroke_ML.pdf" TargetMode="External"/><Relationship Id="rId17" Type="http://schemas.openxmlformats.org/officeDocument/2006/relationships/hyperlink" Target="https://www.sciencedirect.com/science/article/abs/pii/S147444221930415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linelibrary.wiley.com/doi/epdf/10.1111/ene.14936" TargetMode="External"/><Relationship Id="rId20" Type="http://schemas.openxmlformats.org/officeDocument/2006/relationships/hyperlink" Target="https://erabi.b-cdn.net/wp-content/uploads/2021/09/ERABI-Module-6_-V15-July-25-20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rsr.com/evidence-review/10-upper-extremity-intervention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gnr.ch/deutsch/leitlinien/" TargetMode="External"/><Relationship Id="rId23" Type="http://schemas.openxmlformats.org/officeDocument/2006/relationships/hyperlink" Target="https://link.springer.com/article/10.1007/s10072-020-04974-6" TargetMode="External"/><Relationship Id="rId10" Type="http://schemas.openxmlformats.org/officeDocument/2006/relationships/hyperlink" Target="http://www.ebrsr.com/evidence-review/10-upper-extremity-intervention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urnals.viamedica.pl/polski_przeglad_neurologiczny/issue/view/4583):" TargetMode="External"/><Relationship Id="rId14" Type="http://schemas.openxmlformats.org/officeDocument/2006/relationships/hyperlink" Target="https://register.awmf.org/assets/guidelines/080-001l_S3_Rehabilitative_Therapie_bei_Armparese_nach_Schlaganfall_2020-07.pdf" TargetMode="External"/><Relationship Id="rId22" Type="http://schemas.openxmlformats.org/officeDocument/2006/relationships/hyperlink" Target="https://www.formaremedicala.ro/n026f-dci-hidrolizat-din-creier-de-porcin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ver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2960-79BE-4032-8844-021B9E20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6221</Words>
  <Characters>3546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DjM1127v</dc:creator>
  <cp:lastModifiedBy>Presnyakova, Julia</cp:lastModifiedBy>
  <cp:revision>33</cp:revision>
  <dcterms:created xsi:type="dcterms:W3CDTF">2023-09-04T09:05:00Z</dcterms:created>
  <dcterms:modified xsi:type="dcterms:W3CDTF">2023-09-11T12:49:00Z</dcterms:modified>
</cp:coreProperties>
</file>